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B67ADB" w:rsidRPr="002652D5" w:rsidTr="00E323E0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bookmarkStart w:id="0" w:name="_GoBack"/>
            <w:bookmarkEnd w:id="0"/>
            <w:r w:rsidRPr="002652D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 xml:space="preserve">B-I – </w:t>
            </w:r>
            <w:r w:rsidRPr="002652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Čtenářství a mediální výchova ve vzdělávání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akademicky zaměřený 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FA106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prezenční a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kombinovaná 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FA106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cs-CZ"/>
              </w:rPr>
            </w:pP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ADB" w:rsidRPr="002652D5" w:rsidTr="00E323E0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Mgr. Jaroslav Vala, Ph.D.</w:t>
            </w:r>
          </w:p>
        </w:tc>
      </w:tr>
      <w:tr w:rsidR="00B67ADB" w:rsidRPr="002652D5" w:rsidTr="00E323E0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B67ADB" w:rsidRPr="002652D5" w:rsidTr="00E323E0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B67ADB" w:rsidRPr="002652D5" w:rsidTr="00E323E0">
        <w:trPr>
          <w:trHeight w:val="438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</w:tr>
      <w:tr w:rsidR="00B67ADB" w:rsidRPr="002652D5" w:rsidTr="00E323E0"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Oblast(i) </w:t>
            </w: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vzdělávání a u kombinovaného studijního programu podíl jednotlivých oblastí vzdělávání v %</w:t>
            </w:r>
          </w:p>
        </w:tc>
      </w:tr>
      <w:tr w:rsidR="00B67ADB" w:rsidRPr="002652D5" w:rsidTr="00E323E0">
        <w:trPr>
          <w:trHeight w:val="1198"/>
        </w:trPr>
        <w:tc>
          <w:tcPr>
            <w:tcW w:w="9285" w:type="dxa"/>
            <w:gridSpan w:val="4"/>
            <w:shd w:val="clear" w:color="auto" w:fill="FFFFFF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FA1065" w:rsidRDefault="00B67ADB" w:rsidP="00E32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cs-CZ"/>
              </w:rPr>
            </w:pPr>
            <w:r w:rsidRPr="00B911A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Učitelství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100%</w:t>
            </w:r>
          </w:p>
        </w:tc>
      </w:tr>
      <w:tr w:rsidR="00B67ADB" w:rsidRPr="002652D5" w:rsidTr="00E323E0">
        <w:trPr>
          <w:trHeight w:val="70"/>
        </w:trPr>
        <w:tc>
          <w:tcPr>
            <w:tcW w:w="9285" w:type="dxa"/>
            <w:gridSpan w:val="4"/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B67ADB" w:rsidRPr="002652D5" w:rsidTr="00E323E0">
        <w:trPr>
          <w:trHeight w:val="2108"/>
        </w:trPr>
        <w:tc>
          <w:tcPr>
            <w:tcW w:w="9285" w:type="dxa"/>
            <w:gridSpan w:val="4"/>
            <w:shd w:val="clear" w:color="auto" w:fill="FFFFFF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pStyle w:val="Normlnweb"/>
              <w:spacing w:before="0" w:beforeAutospacing="0" w:after="0" w:afterAutospacing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2652D5">
              <w:rPr>
                <w:color w:val="000000"/>
                <w:sz w:val="20"/>
                <w:szCs w:val="20"/>
              </w:rPr>
              <w:t xml:space="preserve">Doktorský studijní program </w:t>
            </w:r>
            <w:r w:rsidRPr="002652D5">
              <w:rPr>
                <w:b/>
                <w:bCs/>
                <w:color w:val="000000"/>
                <w:sz w:val="20"/>
                <w:szCs w:val="20"/>
              </w:rPr>
              <w:t xml:space="preserve">Čtenářství a mediální výchova ve vzdělávání </w:t>
            </w:r>
            <w:r w:rsidRPr="002652D5">
              <w:rPr>
                <w:bCs/>
                <w:color w:val="000000"/>
                <w:sz w:val="20"/>
                <w:szCs w:val="20"/>
              </w:rPr>
              <w:t>m</w:t>
            </w:r>
            <w:r w:rsidRPr="002652D5">
              <w:rPr>
                <w:color w:val="000000"/>
                <w:sz w:val="20"/>
                <w:szCs w:val="20"/>
              </w:rPr>
              <w:t xml:space="preserve">á přispět </w:t>
            </w:r>
            <w:r w:rsidRPr="002652D5">
              <w:rPr>
                <w:sz w:val="20"/>
                <w:szCs w:val="20"/>
              </w:rPr>
              <w:t xml:space="preserve">k rozvoji teoretické i výzkumné základny oborové didaktiky ČJL v oblasti výuky literatury a mediální gramotnosti, a tím také ke zvyšování kvality vzdělávání v daných oblastech. </w:t>
            </w:r>
          </w:p>
          <w:p w:rsidR="00B67ADB" w:rsidRPr="002652D5" w:rsidRDefault="00B67ADB" w:rsidP="00E323E0">
            <w:pPr>
              <w:pStyle w:val="Normlnweb"/>
              <w:spacing w:before="0" w:beforeAutospacing="0" w:after="0" w:afterAutospacing="0" w:line="276" w:lineRule="auto"/>
              <w:ind w:firstLine="709"/>
              <w:jc w:val="both"/>
              <w:rPr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S literární výchovou souvisí zejména podpora a rozvoj čtenářství u žáků. Zvládnutí potřebných čtenářských strategií výrazně přispívá k posilování čtenářské gramotnosti, která je nezbytným předpokladem pro gramotnosti mediální.</w:t>
            </w:r>
          </w:p>
          <w:p w:rsidR="00B67ADB" w:rsidRPr="002652D5" w:rsidRDefault="00B67ADB" w:rsidP="00E323E0">
            <w:pPr>
              <w:pStyle w:val="Normlnweb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2652D5">
              <w:rPr>
                <w:sz w:val="20"/>
                <w:szCs w:val="20"/>
              </w:rPr>
              <w:t>DSP je v souladu s </w:t>
            </w:r>
            <w:r w:rsidRPr="002652D5">
              <w:rPr>
                <w:i/>
                <w:sz w:val="20"/>
                <w:szCs w:val="20"/>
              </w:rPr>
              <w:t>Národní strategií podpory základních gramotností v základním vzdělávání</w:t>
            </w:r>
            <w:r w:rsidRPr="002652D5">
              <w:rPr>
                <w:sz w:val="20"/>
                <w:szCs w:val="20"/>
              </w:rPr>
              <w:t xml:space="preserve">. Základní gramotnosti jsou nezbytnou podmínkou pro získání klíčových kompetencí i pro dosažení dalších důležitých cílů vzdělávání a odborné přípravy. Z výsledků mezinárodních výzkumů současně vyplývá, že úroveň čtenářské gramotnosti je dlouhodobým problémem českého školství. </w:t>
            </w:r>
          </w:p>
          <w:p w:rsidR="00B67ADB" w:rsidRPr="002652D5" w:rsidRDefault="00B67ADB" w:rsidP="00E323E0">
            <w:pPr>
              <w:pStyle w:val="Normlnweb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2652D5">
              <w:rPr>
                <w:color w:val="000000"/>
                <w:sz w:val="20"/>
                <w:szCs w:val="20"/>
              </w:rPr>
              <w:t xml:space="preserve">DSP v oblasti mediální výchovy vychází také z nového Evropského rámce digitálních kompetencí </w:t>
            </w:r>
            <w:proofErr w:type="spellStart"/>
            <w:r w:rsidRPr="002652D5">
              <w:rPr>
                <w:color w:val="000000"/>
                <w:sz w:val="20"/>
                <w:szCs w:val="20"/>
              </w:rPr>
              <w:t>DigCompEdu</w:t>
            </w:r>
            <w:proofErr w:type="spellEnd"/>
            <w:r w:rsidRPr="002652D5">
              <w:rPr>
                <w:color w:val="000000"/>
                <w:sz w:val="20"/>
                <w:szCs w:val="20"/>
              </w:rPr>
              <w:t xml:space="preserve">, který klade na pedagogy všech úrovní řadu požadavků spadajících do oblasti profesních, pedagogických a také tzv. transversálních kompetencí. </w:t>
            </w:r>
            <w:proofErr w:type="spellStart"/>
            <w:r w:rsidRPr="002652D5">
              <w:rPr>
                <w:color w:val="000000"/>
                <w:sz w:val="20"/>
                <w:szCs w:val="20"/>
              </w:rPr>
              <w:t>DigCompEdu</w:t>
            </w:r>
            <w:proofErr w:type="spellEnd"/>
            <w:r w:rsidRPr="002652D5">
              <w:rPr>
                <w:color w:val="000000"/>
                <w:sz w:val="20"/>
                <w:szCs w:val="20"/>
              </w:rPr>
              <w:t xml:space="preserve"> upozorňuje mimo jiné na důležitost posilování m</w:t>
            </w:r>
            <w:r>
              <w:rPr>
                <w:color w:val="000000"/>
                <w:sz w:val="20"/>
                <w:szCs w:val="20"/>
              </w:rPr>
              <w:t>ediální gramotnosti v </w:t>
            </w:r>
            <w:r w:rsidRPr="00592972">
              <w:rPr>
                <w:color w:val="000000"/>
                <w:sz w:val="20"/>
                <w:szCs w:val="20"/>
              </w:rPr>
              <w:t>populaci, a to nejen v oblasti školství, ale v rámci celé společnosti. Za kritické</w:t>
            </w:r>
            <w:r w:rsidRPr="002652D5">
              <w:rPr>
                <w:color w:val="000000"/>
                <w:sz w:val="20"/>
                <w:szCs w:val="20"/>
              </w:rPr>
              <w:t xml:space="preserve"> prvky pak označuje mimo jiného schopnost číst s porozuměním, schopnost ověřovat pravdivost informací, schopnost odlišovat relevanci zdrojů, schopnost hodnotit mediální obsahy, schopnost tvořit vlastní obsahy, schopnost posuzovat záměr tvůrců mediálních sdělení, schopnost orientovat se v obsahu publikovaném v prostředí internetu (především v rámci tzv. </w:t>
            </w:r>
            <w:proofErr w:type="spellStart"/>
            <w:r w:rsidRPr="002652D5">
              <w:rPr>
                <w:color w:val="000000"/>
                <w:sz w:val="20"/>
                <w:szCs w:val="20"/>
              </w:rPr>
              <w:t>socnetů</w:t>
            </w:r>
            <w:proofErr w:type="spellEnd"/>
            <w:r w:rsidRPr="002652D5">
              <w:rPr>
                <w:color w:val="000000"/>
                <w:sz w:val="20"/>
                <w:szCs w:val="20"/>
              </w:rPr>
              <w:t xml:space="preserve">), rozpoznávat prvky manipulace  apod. </w:t>
            </w:r>
          </w:p>
          <w:p w:rsidR="00B67ADB" w:rsidRPr="002652D5" w:rsidRDefault="00B67ADB" w:rsidP="00E323E0">
            <w:pPr>
              <w:pStyle w:val="Normlnweb"/>
              <w:spacing w:before="0" w:beforeAutospacing="0" w:after="0" w:afterAutospacing="0" w:line="276" w:lineRule="auto"/>
              <w:ind w:firstLine="708"/>
              <w:jc w:val="both"/>
              <w:rPr>
                <w:sz w:val="20"/>
                <w:szCs w:val="20"/>
              </w:rPr>
            </w:pPr>
            <w:r w:rsidRPr="002652D5">
              <w:rPr>
                <w:color w:val="000000"/>
                <w:sz w:val="20"/>
                <w:szCs w:val="20"/>
              </w:rPr>
              <w:t>Cílem tohoto programu je především propojit synergicky oba typy gramotností a vybavit studenty novými druhy kompetencí (znalostmi a dovednostmi z oblasti čtenářské a mediální gramotnosti), které mohou efektivně převádět do své vlastní praxe.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b/>
                <w:sz w:val="20"/>
                <w:szCs w:val="20"/>
              </w:rPr>
              <w:t>CÍLE STUDIA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Studium v DSP </w:t>
            </w:r>
            <w:r w:rsidRPr="002652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Čtenářství a mediální výchova ve vzdělávání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je sestaveno ze tří částí: 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1. studijní část (přednášky, semináře, samostatné studium, zkoušky z povinných a povinně volitelných předmětů)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2. vědecká část (vědeck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ovýzkumná a publikační činnost);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pedagogická část (výuka a ostatní příbuzné činnosti).</w:t>
            </w:r>
          </w:p>
          <w:p w:rsidR="00B67ADB" w:rsidRPr="00DE7260" w:rsidRDefault="00B67ADB" w:rsidP="00E323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 zdárném dokončení doktorského studijního programu bude absolvent schopen: 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přistupovat k tématu své odbornosti systémově a interdisciplinárně; 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v širším kontextu společenské reality prezentovat, kriticky reflektovat a interpretovat aktuální trendy ve výuce literární výchovy, mediální výchovy a v oblasti rozvoje čtenářské a mediální gramotnosti u nás i v zahraničí, a to zejména ve vztahu ke své odborné profilaci;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při zachování etických zásad samostatně koncipovat a realizovat empirické výzkumy směřující k rozšíření a obohacení stavu vědeckého poznání v souladu s relevantními diskurzy pedagogických věd;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 konfrontovat jejich závěry s výstupy vědecké práce českých i zahraničních badatelů, a to například prostřednictvím publikační činnosti jak v tuzemských, tak i v zahraničních uznávaných časopisech s náročným recenzním řízením;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podílet se na vědecko-výzkumné projektové a grantové činnosti i v rámci větších vědeckých týmů;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využít komplexní znalosti v oblasti kritického myšlení, čtenářské i mediální gramotnosti a dále je prohlubovat;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identifikovat i </w:t>
            </w:r>
            <w:proofErr w:type="spellStart"/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kontextualizovat</w:t>
            </w:r>
            <w:proofErr w:type="spellEnd"/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problémy v oblasti čtenářské a mediální gramotnosti a navrhovat jejich řešení;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uplatňovat aktivní žákovské učení pro obnovu a zlepšování škol, školských systémů a institucí vysokoškolského vzdělávání;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formulovat vize výuky a učení, které jsou založeny na aktuálních výzkumných zjištěních včetně zahraničních zkušeností;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aktivně a erudovaně komunikovat na téma své odbornosti v jednom cizím jazyce minimálně na úrovni B2;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implementovat téma své odbornosti do výuky na VŠ.</w:t>
            </w:r>
          </w:p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ADB" w:rsidRPr="002652D5" w:rsidTr="00E323E0">
        <w:trPr>
          <w:trHeight w:val="187"/>
        </w:trPr>
        <w:tc>
          <w:tcPr>
            <w:tcW w:w="9285" w:type="dxa"/>
            <w:gridSpan w:val="4"/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Profil absolventa studijního programu</w:t>
            </w:r>
          </w:p>
        </w:tc>
      </w:tr>
      <w:tr w:rsidR="00B67ADB" w:rsidRPr="002652D5" w:rsidTr="00E323E0">
        <w:trPr>
          <w:trHeight w:val="2694"/>
        </w:trPr>
        <w:tc>
          <w:tcPr>
            <w:tcW w:w="9285" w:type="dxa"/>
            <w:gridSpan w:val="4"/>
            <w:shd w:val="clear" w:color="auto" w:fill="FFFFFF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Absolvent disponuje hlubokými znalostmi ve vybraných oborových, didaktických, pedagogicko-psychologických a dalších souvisejících disciplínách. Je také seznámen s hlavními trendy v současném národním i zahraničním přístupu k rozvoji čtenářské a mediální gramotnosti.</w:t>
            </w:r>
          </w:p>
          <w:p w:rsidR="00B67ADB" w:rsidRPr="002652D5" w:rsidRDefault="00B67ADB" w:rsidP="00E323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Absolvent dále ovládá metodologii výzkumu v pedagogických oborech, metody získávání dat, příslušné statistické metody hodnocení dat stejně jako další analytické metody. </w:t>
            </w:r>
          </w:p>
          <w:p w:rsidR="00B67ADB" w:rsidRPr="00DE7260" w:rsidRDefault="00B67ADB" w:rsidP="00E323E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Absolvent je schopen využívat nabídky českých i zahraničních grantových agentur, které v současné době financují výzkumnou činnost formou grantových projektů. Dále dokáže prezentovat výsledky své výzkumné činnosti formou publikací v národních i zahraničních časopisech. Ve zvoleném oboru jsou absolventi schopni samostatné vědeckovýzkumné činnosti a mohou se uplatnit v pedagogické i výzkumné činnosti na vysokých školách, nebo v dalších oblastech výzkumu.</w:t>
            </w:r>
          </w:p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ADB" w:rsidRPr="002652D5" w:rsidTr="00E323E0">
        <w:trPr>
          <w:trHeight w:val="185"/>
        </w:trPr>
        <w:tc>
          <w:tcPr>
            <w:tcW w:w="9285" w:type="dxa"/>
            <w:gridSpan w:val="4"/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B67ADB" w:rsidRPr="002652D5" w:rsidTr="00E323E0">
        <w:trPr>
          <w:trHeight w:val="1559"/>
        </w:trPr>
        <w:tc>
          <w:tcPr>
            <w:tcW w:w="9285" w:type="dxa"/>
            <w:gridSpan w:val="4"/>
            <w:shd w:val="clear" w:color="auto" w:fill="FFFFFF"/>
          </w:tcPr>
          <w:p w:rsidR="00B67ADB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Jedná se o studijní program bez specializace.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Studijní plán je tvořen 6 povinnými předměty včetně cizího jazyka (každý za 7 kreditů, tj. celkem 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kreditů) a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 povinně volitelnými předměty (každý za 7 kreditů, tj. celkem 14 kreditů), které si student volí v souladu se zaměřením své dizertační práce. 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DE7260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Dále náplň studijního plánu tvoří </w:t>
            </w: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pedagogické aktivity 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- výuka studenta (každá za 7 kreditů, tj. celkem 14 kreditů), absolvování zahraniční vědecko-výzkumné stáže (20 kreditů), plnění vědecké, publikační a tvůrčí činnosti (86 kreditů), dále obhajoba projektu disertační práce (10kreditů), zpracování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disertační práce (40 kreditů) a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ostatní odborné aktivity (14 kreditů).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 Koncepce programu tedy respektuje požadavky Dlouhodobého záměru vzdělávání a rozvoje vzdělávací a vědecké, výzkumné, vývojové a inovační, umělecké a další tvůrčí činnosti pro oblast vysokých škol na období 2016–2020, Dlouhodobý záměr činnosti Univerzity Palackého v Olomouci a Dlouhodobý záměr Pedagogické fakulty Univerzity Palackého v Olomouci. Je v souladu se Strategií vzdělávací politiky České republiky.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7ADB" w:rsidRPr="002652D5" w:rsidTr="00E323E0">
        <w:trPr>
          <w:trHeight w:val="258"/>
        </w:trPr>
        <w:tc>
          <w:tcPr>
            <w:tcW w:w="9285" w:type="dxa"/>
            <w:gridSpan w:val="4"/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 xml:space="preserve"> Podmínky k přijetí ke studiu</w:t>
            </w:r>
          </w:p>
        </w:tc>
      </w:tr>
      <w:tr w:rsidR="00B67ADB" w:rsidRPr="002652D5" w:rsidTr="00E323E0">
        <w:trPr>
          <w:trHeight w:val="1327"/>
        </w:trPr>
        <w:tc>
          <w:tcPr>
            <w:tcW w:w="9285" w:type="dxa"/>
            <w:gridSpan w:val="4"/>
            <w:shd w:val="clear" w:color="auto" w:fill="FFFFFF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A20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PODMÍNKY PŘIJETÍ DO DSP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:rsidR="00B67ADB" w:rsidRPr="00592972" w:rsidRDefault="00B67ADB" w:rsidP="00E323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Vstupní požadavky: 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Úspěšné absolvování navazujícího magisterského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2030">
              <w:rPr>
                <w:rFonts w:ascii="Times New Roman" w:hAnsi="Times New Roman" w:cs="Times New Roman"/>
                <w:sz w:val="20"/>
                <w:szCs w:val="20"/>
              </w:rPr>
              <w:t>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magisterského studia v programech úzce souvisejících s programem DSP (blíže viz návaznost na další typy studijních programů).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Úspěšné vykonání přijímací zkoušky. </w:t>
            </w:r>
          </w:p>
          <w:p w:rsidR="00B67ADB" w:rsidRPr="002652D5" w:rsidRDefault="00B67ADB" w:rsidP="00B67AD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Předpoklady pro vědeckou a tvůrčí činnost doložené soupisem odborné publikační 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innosti, účastí na </w:t>
            </w:r>
            <w:r w:rsidRPr="005A2030">
              <w:rPr>
                <w:rFonts w:ascii="Times New Roman" w:hAnsi="Times New Roman" w:cs="Times New Roman"/>
                <w:sz w:val="20"/>
                <w:szCs w:val="20"/>
              </w:rPr>
              <w:t>konferencích a seminářích, popřípadě přehledem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tvůrčí činnosti (např. projekty, metodické pomůcky, workshopy a další). 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Požadavky přijímací zkoušky:</w:t>
            </w:r>
          </w:p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1. Aktivní znalost jednoho cizího jazyka (angličtina, němčina, ruština) na úrovni jazykových zkoušek v rámci vysokoškolského studia.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2. Předložení tezí projektu připravované dizertační práce zaměřené na oblast čtenářství a mediální gramotnosti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ADB" w:rsidRPr="002652D5" w:rsidRDefault="00B67ADB" w:rsidP="00E32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3. Předložení soupisu prostudovaných odborných prací (monografie, sborníky z konferencí, časopisecké studie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2D5">
              <w:rPr>
                <w:rFonts w:ascii="Times New Roman" w:hAnsi="Times New Roman" w:cs="Times New Roman"/>
                <w:sz w:val="20"/>
                <w:szCs w:val="20"/>
              </w:rPr>
              <w:t>tuzemské i zahraniční provenience aj.). Prokázání základních vědomostí a uceleného přehledu z daného oboru. V rámci ústní přijímací zkoušky obhajují uchazeči záměr tématu dizertační práce. V rámci rozpravy k záměru tématu dizertační práce také uchazeči prokazují své komunikační kompetence v jednom světovém jazyce.</w:t>
            </w:r>
          </w:p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B67ADB" w:rsidRPr="002652D5" w:rsidTr="00E323E0">
        <w:trPr>
          <w:trHeight w:val="268"/>
        </w:trPr>
        <w:tc>
          <w:tcPr>
            <w:tcW w:w="9285" w:type="dxa"/>
            <w:gridSpan w:val="4"/>
            <w:shd w:val="clear" w:color="auto" w:fill="F7CAAC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Návaznost na další typy studijních programů</w:t>
            </w:r>
          </w:p>
        </w:tc>
      </w:tr>
      <w:tr w:rsidR="00B67ADB" w:rsidRPr="002652D5" w:rsidTr="00E323E0">
        <w:trPr>
          <w:trHeight w:val="2651"/>
        </w:trPr>
        <w:tc>
          <w:tcPr>
            <w:tcW w:w="9285" w:type="dxa"/>
            <w:gridSpan w:val="4"/>
            <w:shd w:val="clear" w:color="auto" w:fill="FFFFFF"/>
          </w:tcPr>
          <w:p w:rsidR="00B67ADB" w:rsidRPr="002652D5" w:rsidRDefault="00B67ADB" w:rsidP="00E3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Ke studiu budou přijímáni absolventi navazujícího magisterského a magisterského studia v programech: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učitelství českého jazyka a literatury, 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mateřského jazyka a literatury,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cizího jazyka a literatury,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pro 1. stupeň základních škol,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učitelství pro mateřské školy,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•</w:t>
            </w: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>magisterských programů úzce souvisejících s programem studia (přijímací komise rozhodne na základě posouzení doložených podkladů o absolvování studia): např. učitelství základů společenských věd,  mediální  studia, bohemistika apod.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652D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 případě, že uchazeč nevystudoval učitelský studijní program, je třeba si před zahájením studia DSP doplnit vzdělání v oblasti učitelské </w:t>
            </w: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způsobilosti v rámci pedagogických věd.</w:t>
            </w:r>
          </w:p>
          <w:p w:rsidR="00B67ADB" w:rsidRPr="002652D5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B67ADB" w:rsidRPr="00592972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9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Zařazení DSP podle oblasti vzdělávání (NAÚ): </w:t>
            </w:r>
          </w:p>
          <w:p w:rsidR="00B67ADB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59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Učitelství – </w:t>
            </w:r>
            <w:r w:rsidRPr="005A20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tematický okruh oborová didaktika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</w:t>
            </w:r>
          </w:p>
          <w:p w:rsidR="00B67ADB" w:rsidRPr="00DE7260" w:rsidRDefault="00B67ADB" w:rsidP="00E3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337359" w:rsidRDefault="0084320A"/>
    <w:sectPr w:rsidR="0033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238E"/>
    <w:multiLevelType w:val="hybridMultilevel"/>
    <w:tmpl w:val="57829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772DD"/>
    <w:multiLevelType w:val="hybridMultilevel"/>
    <w:tmpl w:val="B0E4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DB"/>
    <w:rsid w:val="0084320A"/>
    <w:rsid w:val="00B67ADB"/>
    <w:rsid w:val="00D1521D"/>
    <w:rsid w:val="00E06D15"/>
    <w:rsid w:val="00F4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3FAE-6AB8-4658-94BD-9A1658A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67AD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A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Vala</dc:creator>
  <cp:keywords/>
  <dc:description/>
  <cp:lastModifiedBy>jvalaj@gmail.com</cp:lastModifiedBy>
  <cp:revision>2</cp:revision>
  <dcterms:created xsi:type="dcterms:W3CDTF">2020-05-01T08:31:00Z</dcterms:created>
  <dcterms:modified xsi:type="dcterms:W3CDTF">2020-05-01T08:31:00Z</dcterms:modified>
</cp:coreProperties>
</file>